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jc w:val="center"/>
        <w:rPr>
          <w:rFonts w:hint="eastAsia" w:hAnsi="宋体" w:cs="宋体"/>
          <w:b/>
          <w:bCs/>
          <w:color w:val="auto"/>
          <w:sz w:val="36"/>
          <w:szCs w:val="36"/>
        </w:rPr>
      </w:pPr>
      <w:r>
        <w:rPr>
          <w:rFonts w:hint="eastAsia" w:hAnsi="宋体" w:cs="宋体"/>
          <w:b/>
          <w:bCs/>
          <w:color w:val="auto"/>
          <w:sz w:val="36"/>
          <w:szCs w:val="36"/>
        </w:rPr>
        <w:t>采</w:t>
      </w:r>
      <w:r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hAnsi="宋体" w:cs="宋体"/>
          <w:b/>
          <w:bCs/>
          <w:color w:val="auto"/>
          <w:sz w:val="36"/>
          <w:szCs w:val="36"/>
        </w:rPr>
        <w:t>购</w:t>
      </w:r>
      <w:r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hAnsi="宋体" w:cs="宋体"/>
          <w:b/>
          <w:bCs/>
          <w:color w:val="auto"/>
          <w:sz w:val="36"/>
          <w:szCs w:val="36"/>
        </w:rPr>
        <w:t>需</w:t>
      </w:r>
      <w:r>
        <w:rPr>
          <w:rFonts w:hint="eastAsia" w:hAnsi="宋体" w:cs="宋体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hAnsi="宋体" w:cs="宋体"/>
          <w:b/>
          <w:bCs/>
          <w:color w:val="auto"/>
          <w:sz w:val="36"/>
          <w:szCs w:val="36"/>
        </w:rPr>
        <w:t>求</w:t>
      </w:r>
    </w:p>
    <w:p>
      <w:pPr>
        <w:pStyle w:val="2"/>
        <w:spacing w:line="400" w:lineRule="exact"/>
        <w:rPr>
          <w:rFonts w:hint="eastAsia" w:hAnsi="宋体" w:cs="宋体"/>
          <w:color w:val="auto"/>
          <w:sz w:val="28"/>
          <w:szCs w:val="28"/>
        </w:rPr>
      </w:pPr>
    </w:p>
    <w:p>
      <w:pPr>
        <w:pStyle w:val="2"/>
        <w:spacing w:line="400" w:lineRule="exact"/>
        <w:rPr>
          <w:rFonts w:hint="eastAsia" w:hAnsi="宋体" w:cs="宋体"/>
          <w:b/>
          <w:bCs/>
          <w:color w:val="auto"/>
          <w:sz w:val="28"/>
          <w:szCs w:val="28"/>
        </w:rPr>
      </w:pP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hAnsi="宋体" w:cs="宋体"/>
          <w:b/>
          <w:bCs/>
          <w:color w:val="auto"/>
          <w:sz w:val="28"/>
          <w:szCs w:val="28"/>
        </w:rPr>
        <w:t>项目内容主要包括以下方面：</w:t>
      </w:r>
    </w:p>
    <w:p>
      <w:pPr>
        <w:pStyle w:val="2"/>
        <w:numPr>
          <w:ilvl w:val="0"/>
          <w:numId w:val="1"/>
        </w:numPr>
        <w:spacing w:line="400" w:lineRule="exact"/>
        <w:rPr>
          <w:rFonts w:hint="eastAsia" w:hAnsi="宋体" w:cs="宋体"/>
          <w:color w:val="auto"/>
          <w:sz w:val="28"/>
          <w:szCs w:val="28"/>
        </w:rPr>
      </w:pPr>
      <w:r>
        <w:rPr>
          <w:rFonts w:hint="eastAsia" w:hAnsi="宋体" w:cs="宋体"/>
          <w:color w:val="auto"/>
          <w:sz w:val="28"/>
          <w:szCs w:val="28"/>
          <w:lang w:val="en-US" w:eastAsia="zh-CN"/>
        </w:rPr>
        <w:t>西昌学院春节氛围营造</w:t>
      </w:r>
    </w:p>
    <w:p>
      <w:pPr>
        <w:pStyle w:val="2"/>
        <w:spacing w:line="400" w:lineRule="exact"/>
        <w:rPr>
          <w:rFonts w:hint="eastAsia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二、</w:t>
      </w:r>
      <w:r>
        <w:rPr>
          <w:rFonts w:hint="eastAsia" w:hAnsi="宋体" w:cs="宋体"/>
          <w:b/>
          <w:bCs/>
          <w:color w:val="auto"/>
          <w:sz w:val="28"/>
          <w:szCs w:val="28"/>
        </w:rPr>
        <w:t>采购项目的技术（服务）需求</w:t>
      </w:r>
      <w:r>
        <w:rPr>
          <w:rFonts w:hint="eastAsia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实质性要求</w:t>
      </w:r>
      <w:r>
        <w:rPr>
          <w:rFonts w:hint="eastAsia" w:hAnsi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pStyle w:val="2"/>
        <w:numPr>
          <w:ilvl w:val="0"/>
          <w:numId w:val="2"/>
        </w:numPr>
        <w:spacing w:line="400" w:lineRule="exac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灯笼：规格大小和灯笼样式符合采购人各校区悬挂效果要求。</w:t>
      </w:r>
    </w:p>
    <w:p>
      <w:pPr>
        <w:pStyle w:val="2"/>
        <w:numPr>
          <w:ilvl w:val="0"/>
          <w:numId w:val="2"/>
        </w:numPr>
        <w:spacing w:line="400" w:lineRule="exac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彩色条幅：色彩鲜明，无色差，无瑕疵。</w:t>
      </w:r>
    </w:p>
    <w:p>
      <w:pPr>
        <w:pStyle w:val="2"/>
        <w:numPr>
          <w:ilvl w:val="0"/>
          <w:numId w:val="2"/>
        </w:numPr>
        <w:spacing w:line="400" w:lineRule="exact"/>
        <w:ind w:left="0" w:leftChars="0" w:firstLine="0" w:firstLineChars="0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祝福小品：完整无脱落，平整无坑洼，边角处理规整。</w:t>
      </w:r>
    </w:p>
    <w:p>
      <w:pPr>
        <w:pStyle w:val="2"/>
        <w:numPr>
          <w:ilvl w:val="0"/>
          <w:numId w:val="0"/>
        </w:numPr>
        <w:spacing w:line="400" w:lineRule="exact"/>
        <w:rPr>
          <w:rFonts w:hint="eastAsia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color w:val="auto"/>
          <w:sz w:val="28"/>
          <w:szCs w:val="28"/>
          <w:lang w:val="en-US" w:eastAsia="zh-CN"/>
        </w:rPr>
        <w:t>4.采购清单如下：</w:t>
      </w:r>
    </w:p>
    <w:tbl>
      <w:tblPr>
        <w:tblStyle w:val="3"/>
        <w:tblW w:w="8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76"/>
        <w:gridCol w:w="796"/>
        <w:gridCol w:w="2306"/>
        <w:gridCol w:w="780"/>
        <w:gridCol w:w="1080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西昌学院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春节氛围营造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品牌地点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制作工艺及型号规格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大门处灯笼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红色灯笼（铁皮口、金色包边、内置铁质骨架、外为优质绸缎布，直径1.35米）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59690</wp:posOffset>
                  </wp:positionV>
                  <wp:extent cx="1188720" cy="661670"/>
                  <wp:effectExtent l="0" t="0" r="11430" b="5080"/>
                  <wp:wrapNone/>
                  <wp:docPr id="10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安装辅料（含2CM钢绳）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150495</wp:posOffset>
                  </wp:positionV>
                  <wp:extent cx="1141730" cy="879475"/>
                  <wp:effectExtent l="0" t="0" r="1270" b="15875"/>
                  <wp:wrapNone/>
                  <wp:docPr id="11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彩色条幅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北校区1条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户外高清喷绘：20.5m*1m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344805</wp:posOffset>
                  </wp:positionV>
                  <wp:extent cx="1267460" cy="146050"/>
                  <wp:effectExtent l="0" t="0" r="8890" b="6350"/>
                  <wp:wrapNone/>
                  <wp:docPr id="2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2024造型牌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背架部分1.2*1*2  1.2*0.8*4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6.24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607695</wp:posOffset>
                  </wp:positionV>
                  <wp:extent cx="1276985" cy="567690"/>
                  <wp:effectExtent l="0" t="0" r="18415" b="3810"/>
                  <wp:wrapNone/>
                  <wp:docPr id="2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造型部分 2CM PVC UV 打印1.2*1*2  1.2*0.8*4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6.24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行道树灯笼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连串拉丝灯笼（每串4个，规格：8寸）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33655</wp:posOffset>
                  </wp:positionV>
                  <wp:extent cx="654050" cy="714375"/>
                  <wp:effectExtent l="0" t="0" r="12700" b="9525"/>
                  <wp:wrapNone/>
                  <wp:docPr id="1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龙年 造型牌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北校区主干道 绿化带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背架部分：方管架焊接（高度2米 宽1米）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64770</wp:posOffset>
                  </wp:positionV>
                  <wp:extent cx="1274445" cy="848360"/>
                  <wp:effectExtent l="0" t="0" r="1905" b="8890"/>
                  <wp:wrapNone/>
                  <wp:docPr id="22" name="图片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_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造型部分 2CM PVC UV 打印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主教学楼 灯笼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红色灯笼（铁皮口、金色包边、内置铁质骨架、外为优质绸缎布，直径0.9米）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165735</wp:posOffset>
                  </wp:positionV>
                  <wp:extent cx="1322070" cy="748665"/>
                  <wp:effectExtent l="0" t="0" r="11430" b="13335"/>
                  <wp:wrapNone/>
                  <wp:docPr id="9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 灯笼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红色灯笼（铁皮口、金色包边、内置铁质骨架、外为优质绸缎布，直径1.35米）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260350</wp:posOffset>
                  </wp:positionV>
                  <wp:extent cx="1211580" cy="680085"/>
                  <wp:effectExtent l="0" t="0" r="7620" b="5715"/>
                  <wp:wrapNone/>
                  <wp:docPr id="12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安装辅料（含2CM钢绳）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灯杆 灯笼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灯笼安装架（方管架+抱箍）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75565</wp:posOffset>
                  </wp:positionV>
                  <wp:extent cx="1261110" cy="735330"/>
                  <wp:effectExtent l="0" t="0" r="15240" b="7620"/>
                  <wp:wrapNone/>
                  <wp:docPr id="19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塑料灯笼（4个每串）直径30厘米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大门灯笼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红色灯笼（铁皮口、金色包边、内置铁质骨架、外为优质绸缎布，直径0.9米）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469265</wp:posOffset>
                  </wp:positionV>
                  <wp:extent cx="1350010" cy="679450"/>
                  <wp:effectExtent l="0" t="0" r="2540" b="6350"/>
                  <wp:wrapNone/>
                  <wp:docPr id="1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1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彩色条幅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南校区1条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户外高清喷绘：13m*1m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328295</wp:posOffset>
                  </wp:positionV>
                  <wp:extent cx="1188085" cy="264160"/>
                  <wp:effectExtent l="0" t="0" r="12065" b="2540"/>
                  <wp:wrapNone/>
                  <wp:docPr id="1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8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主干道灯笼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红色灯笼（铁皮口、金色包边、内置铁质骨架、外为优质绸缎布，直径0.6米）  8段 每段4个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62865</wp:posOffset>
                  </wp:positionV>
                  <wp:extent cx="1143000" cy="890905"/>
                  <wp:effectExtent l="0" t="0" r="0" b="4445"/>
                  <wp:wrapNone/>
                  <wp:docPr id="15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教学楼灯笼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红色灯笼（铁皮口、金色包边、内置铁质骨架、外为优质绸缎布，直径0.9米）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169545</wp:posOffset>
                  </wp:positionV>
                  <wp:extent cx="1286510" cy="902335"/>
                  <wp:effectExtent l="0" t="0" r="8890" b="12065"/>
                  <wp:wrapNone/>
                  <wp:docPr id="25" name="图片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2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大门灯笼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红色灯笼（铁皮口、金色包边、内置铁质骨架、外为优质绸缎布，直径0.8米）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63500</wp:posOffset>
                  </wp:positionV>
                  <wp:extent cx="1217295" cy="885190"/>
                  <wp:effectExtent l="0" t="0" r="1905" b="10160"/>
                  <wp:wrapNone/>
                  <wp:docPr id="24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_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29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门禁画面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1.5*0.9*2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彩色条幅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预科校区1条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户外高清喷绘：8m*1m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831850</wp:posOffset>
                  </wp:positionV>
                  <wp:extent cx="1250950" cy="142240"/>
                  <wp:effectExtent l="0" t="0" r="6350" b="10160"/>
                  <wp:wrapNone/>
                  <wp:docPr id="17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行道树灯笼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连串拉丝灯笼（每串4个，规格：8寸）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328930</wp:posOffset>
                  </wp:positionV>
                  <wp:extent cx="1253490" cy="654050"/>
                  <wp:effectExtent l="0" t="0" r="3810" b="12700"/>
                  <wp:wrapNone/>
                  <wp:docPr id="20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1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2024造型牌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北校区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背架部分：方管架焊接（1*1*2； 1*0.6*4）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2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461645</wp:posOffset>
                  </wp:positionV>
                  <wp:extent cx="1249680" cy="680085"/>
                  <wp:effectExtent l="0" t="0" r="7620" b="5715"/>
                  <wp:wrapNone/>
                  <wp:docPr id="16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造型部分 2CM PVC UV 打印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安装辅料及安装费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高空车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C0000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spacing w:line="400" w:lineRule="exact"/>
        <w:rPr>
          <w:rFonts w:hint="default" w:hAnsi="宋体" w:cs="宋体"/>
          <w:color w:val="00B0F0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eastAsia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spacing w:line="400" w:lineRule="exact"/>
        <w:rPr>
          <w:rFonts w:hint="default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交货时间及地点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付款方式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及售后服务</w:t>
      </w:r>
    </w:p>
    <w:p>
      <w:pPr>
        <w:pStyle w:val="2"/>
        <w:numPr>
          <w:ilvl w:val="0"/>
          <w:numId w:val="0"/>
        </w:numPr>
        <w:spacing w:line="400" w:lineRule="exact"/>
        <w:ind w:firstLine="560" w:firstLineChars="200"/>
        <w:rPr>
          <w:rFonts w:hint="default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交货时间：2024年2月1日—2024</w:t>
      </w:r>
      <w:bookmarkStart w:id="0" w:name="_GoBack"/>
      <w:bookmarkEnd w:id="0"/>
      <w:r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年2月5日</w:t>
      </w:r>
    </w:p>
    <w:p>
      <w:pPr>
        <w:pStyle w:val="2"/>
        <w:numPr>
          <w:ilvl w:val="0"/>
          <w:numId w:val="0"/>
        </w:numPr>
        <w:tabs>
          <w:tab w:val="left" w:pos="5541"/>
        </w:tabs>
        <w:spacing w:line="400" w:lineRule="exact"/>
        <w:ind w:firstLine="560" w:firstLineChars="200"/>
        <w:rPr>
          <w:rFonts w:hint="default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验收地点：西昌学院安宁校区、邛海校区、预科部</w:t>
      </w:r>
    </w:p>
    <w:p>
      <w:pPr>
        <w:pStyle w:val="2"/>
        <w:numPr>
          <w:ilvl w:val="0"/>
          <w:numId w:val="0"/>
        </w:numPr>
        <w:tabs>
          <w:tab w:val="left" w:pos="5541"/>
        </w:tabs>
        <w:spacing w:line="400" w:lineRule="exact"/>
        <w:ind w:firstLine="560" w:firstLineChars="200"/>
        <w:rPr>
          <w:rFonts w:hint="default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验收方式：现场验收</w:t>
      </w:r>
    </w:p>
    <w:p>
      <w:pPr>
        <w:pStyle w:val="2"/>
        <w:numPr>
          <w:ilvl w:val="0"/>
          <w:numId w:val="0"/>
        </w:numPr>
        <w:spacing w:line="400" w:lineRule="exact"/>
        <w:ind w:firstLine="560" w:firstLineChars="200"/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付款方式：在项目验收合格后45日内一次性付清乙方全部项目款</w:t>
      </w:r>
    </w:p>
    <w:p>
      <w:pPr>
        <w:pStyle w:val="2"/>
        <w:spacing w:line="400" w:lineRule="exact"/>
        <w:ind w:firstLine="560" w:firstLineChars="200"/>
        <w:rPr>
          <w:rFonts w:hint="default" w:hAnsi="宋体" w:cs="宋体"/>
          <w:sz w:val="28"/>
          <w:szCs w:val="28"/>
          <w:lang w:val="en-US" w:eastAsia="zh-CN"/>
        </w:rPr>
      </w:pPr>
      <w:r>
        <w:rPr>
          <w:rFonts w:hint="eastAsia" w:hAnsi="宋体" w:cs="宋体"/>
          <w:sz w:val="28"/>
          <w:szCs w:val="28"/>
          <w:lang w:val="en-US" w:eastAsia="zh-CN"/>
        </w:rPr>
        <w:t>售后服务：本项目服务期限以成品验收合格结束为限，自项目验收合格之日起2月内无明显变色，板块不松动</w:t>
      </w:r>
      <w:r>
        <w:rPr>
          <w:rFonts w:hint="eastAsia" w:hAnsi="宋体" w:cs="宋体"/>
          <w:sz w:val="28"/>
          <w:szCs w:val="28"/>
        </w:rPr>
        <w:t>、脱落，如有上述质量问题投标人</w:t>
      </w:r>
      <w:r>
        <w:rPr>
          <w:rFonts w:hint="eastAsia" w:hAnsi="宋体" w:cs="宋体"/>
          <w:sz w:val="28"/>
          <w:szCs w:val="28"/>
          <w:lang w:val="en-US" w:eastAsia="zh-CN"/>
        </w:rPr>
        <w:t>应</w:t>
      </w:r>
      <w:r>
        <w:rPr>
          <w:rFonts w:hint="eastAsia" w:hAnsi="宋体" w:cs="宋体"/>
          <w:sz w:val="28"/>
          <w:szCs w:val="28"/>
        </w:rPr>
        <w:t>及时处理至</w:t>
      </w:r>
      <w:r>
        <w:rPr>
          <w:rFonts w:hint="eastAsia" w:hAnsi="宋体" w:cs="宋体"/>
          <w:sz w:val="28"/>
          <w:szCs w:val="28"/>
          <w:lang w:val="en-US" w:eastAsia="zh-CN"/>
        </w:rPr>
        <w:t>采购人</w:t>
      </w:r>
      <w:r>
        <w:rPr>
          <w:rFonts w:hint="eastAsia" w:hAnsi="宋体" w:cs="宋体"/>
          <w:sz w:val="28"/>
          <w:szCs w:val="28"/>
        </w:rPr>
        <w:t>满意为止。</w:t>
      </w:r>
    </w:p>
    <w:p>
      <w:pPr>
        <w:rPr>
          <w:rFonts w:hint="default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四、其他要求</w:t>
      </w:r>
      <w:r>
        <w:rPr>
          <w:rFonts w:hint="eastAsia" w:hAnsi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hAnsi="宋体" w:cs="宋体"/>
          <w:b/>
          <w:bCs/>
          <w:color w:val="auto"/>
          <w:sz w:val="28"/>
          <w:szCs w:val="28"/>
          <w:lang w:val="en-US" w:eastAsia="zh-CN"/>
        </w:rPr>
        <w:t>实质性要求</w:t>
      </w:r>
      <w:r>
        <w:rPr>
          <w:rFonts w:hint="eastAsia" w:hAnsi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在本项目制作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使用过程中，如因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中标供应商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原因造成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中标供应商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人员或第三人的人身或财产损害等安全事故，均与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无关，由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中标供应商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承担此全部责任；若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采购人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因此承担责任的，有权向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中标供应商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全额追偿。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86C5DD"/>
    <w:multiLevelType w:val="singleLevel"/>
    <w:tmpl w:val="DA86C5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AA30BF3"/>
    <w:multiLevelType w:val="singleLevel"/>
    <w:tmpl w:val="6AA30BF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OWRmOGI4M2JhMWQ2N2EwY2Q0NjU5ZTUwNWY0NjYifQ=="/>
    <w:docVar w:name="KSO_WPS_MARK_KEY" w:val="0b2851d7-6d45-48bc-a38c-540e47839158"/>
  </w:docVars>
  <w:rsids>
    <w:rsidRoot w:val="63C81C54"/>
    <w:rsid w:val="03305FFE"/>
    <w:rsid w:val="0DDC0952"/>
    <w:rsid w:val="0E022DBC"/>
    <w:rsid w:val="0E3E5A73"/>
    <w:rsid w:val="102B6E7F"/>
    <w:rsid w:val="110F36F7"/>
    <w:rsid w:val="12AD31C8"/>
    <w:rsid w:val="14A81E98"/>
    <w:rsid w:val="14E64974"/>
    <w:rsid w:val="15AF7257"/>
    <w:rsid w:val="176A3625"/>
    <w:rsid w:val="1889242C"/>
    <w:rsid w:val="1F23738F"/>
    <w:rsid w:val="1FD025AA"/>
    <w:rsid w:val="22B1460E"/>
    <w:rsid w:val="3396728E"/>
    <w:rsid w:val="41F06515"/>
    <w:rsid w:val="49FC4D41"/>
    <w:rsid w:val="52932C47"/>
    <w:rsid w:val="60711C69"/>
    <w:rsid w:val="609B144B"/>
    <w:rsid w:val="61172F9B"/>
    <w:rsid w:val="63C81C54"/>
    <w:rsid w:val="63D57455"/>
    <w:rsid w:val="686A035A"/>
    <w:rsid w:val="6A0C4E30"/>
    <w:rsid w:val="6B340F05"/>
    <w:rsid w:val="6D095F67"/>
    <w:rsid w:val="724834E8"/>
    <w:rsid w:val="7BBD0AA3"/>
    <w:rsid w:val="7D6A2D02"/>
    <w:rsid w:val="7E4B4A7F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1250</Words>
  <Characters>1402</Characters>
  <Lines>0</Lines>
  <Paragraphs>0</Paragraphs>
  <TotalTime>2</TotalTime>
  <ScaleCrop>false</ScaleCrop>
  <LinksUpToDate>false</LinksUpToDate>
  <CharactersWithSpaces>1431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2023-12-01T01:15:00Z</dcterms:created>
  <dc:creator>HP</dc:creator>
  <cp:lastModifiedBy>HP</cp:lastModifiedBy>
  <dcterms:modified xsi:type="dcterms:W3CDTF">2024-01-16T00:57:29Z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D9AE12912BB54A79B3ED41CABE45C6CA</vt:lpwstr>
  </property>
</Properties>
</file>